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340"/>
        <w:gridCol w:w="60"/>
        <w:gridCol w:w="40"/>
        <w:gridCol w:w="1240"/>
        <w:gridCol w:w="1000"/>
        <w:gridCol w:w="60"/>
        <w:gridCol w:w="20"/>
        <w:gridCol w:w="840"/>
        <w:gridCol w:w="80"/>
        <w:gridCol w:w="620"/>
        <w:gridCol w:w="620"/>
        <w:gridCol w:w="340"/>
        <w:gridCol w:w="320"/>
        <w:gridCol w:w="2640"/>
        <w:gridCol w:w="880"/>
        <w:gridCol w:w="1300"/>
        <w:gridCol w:w="300"/>
        <w:gridCol w:w="60"/>
        <w:gridCol w:w="340"/>
        <w:gridCol w:w="400"/>
      </w:tblGrid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36.0"/>
              </w:rPr>
              <w:t xml:space="preserve">ZEYNEP UYANIK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28.0"/>
              </w:rPr>
              <w:t xml:space="preserve">ÖĞRETİM GÖREVLİSİ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zynpuyanik43@hotmail.com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Telefon (Cep)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5446755782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Faks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b w:val="true"/>
              </w:rPr>
              <w:t xml:space="preserve">Adres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Mimar Sinan Mah. 48001 Sok. Kozanoğlu Apt. No:18/11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GAZİ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EĞİTİM BİLİMLERİ ENSTİTÜSÜ/GELENEKSEL TÜRK EL SANATLARI (YL) (TEZLİ)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5/Eylül/2006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Tez adı: Çinilerde kullanılan klasik Kütahya çini desenleri (2006) Tez Danışmanı:(Tevhide ÖZBAĞI)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SÜLEYMAN DEMİREL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GÜZEL SANATLAR FAKÜLTESİ/GELENEKSEL TÜRK SANATLARI BÖLÜMÜ/GELENEKSEL TÜRK SANATLARI PR. (İÖ)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12/Temmuz/2004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8.0"/>
              </w:rPr>
              <w:t xml:space="preserve">Önlisans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Verdana" w:hAnsi="Verdana" w:eastAsia="Verdana" w:cs="Verdana"/>
              </w:rPr>
              <w:t xml:space="preserve">KÜTAHYA DUMLUPINAR ÜNİVERSİTESİ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</w:rPr>
              <w:t xml:space="preserve">DUMLUPINAR MESLEK YÜKSEKOKULU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1999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13/Temmuz/2001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4.0"/>
                <w:b w:val="true"/>
              </w:rPr>
              <w:t xml:space="preserve">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ÖĞRETİM GÖREVLİSİ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ÜNİVERSİTESİ/TEKNİK BİLİMLER MESLEK YÜKSEKOKULU/EL SANATLARI BÖLÜMÜ/GELENEKSEL EL SANATLARI PR.)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2019 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ÖĞRETİM GÖREVLİSİ</w:t>
            </w: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AFYON KOCATEPE ÜNİVERSİTESİ/DİNAR MESLEK YÜKSEKOKULU/EL SANATLARI BÖLÜMÜ)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sz w:val="16.0"/>
              </w:rPr>
              <w:t xml:space="preserve">2017-2019</w:t>
            </w: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Verdana" w:hAnsi="Verdana" w:eastAsia="Verdana" w:cs="Verdana"/>
                <w:color w:val="666666"/>
                <w:sz w:val="22.0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2012-2014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Prt. Time Öğretim Görevlisi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Üniversitesi Kahramanmaraş Meslek Yüksekokulu El Sanatları Bölümü,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2012-2016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Kurs Eğitmeni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Büyükşehir Belediyesi Mesleki Eğitim Şube Müdürlüğü,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00"/>
        <w:gridCol w:w="1280"/>
        <w:gridCol w:w="2000"/>
        <w:gridCol w:w="5420"/>
        <w:gridCol w:w="1600"/>
        <w:gridCol w:w="6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2011-2012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Prt. Time Öğretim Görevlisi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Sütçü İmam Üniversitesi Kahramanmaraş Meslek Yüksek Okulu El Sanatları Bölümü,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2010-2012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Usta Öğretici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Kahramanmaraş Suzan Abdulhakim Bilgili Halk Eğitim Merkezi,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2007-2009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Desinatör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İsmail YĞİT Çini Atölyesi, (Ticari (Özel))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2005-2007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Usta Öğretiici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Konya Hüyük Halk Eğitim Merkezi, (Kamu)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2001-2005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6.0"/>
                <w:b w:val="true"/>
              </w:rPr>
              <w:t xml:space="preserve">Desinatör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sz w:val="18.0"/>
              </w:rPr>
              <w:t xml:space="preserve">Kütahya Anadolu El Sanatları, (Ticari (Özel))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